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3835C" w14:textId="77777777" w:rsidR="00B752AA" w:rsidRDefault="00E770F1" w:rsidP="00CF0B04">
      <w:pPr>
        <w:pStyle w:val="Caption"/>
        <w:spacing w:after="0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Toc164843879"/>
      <w:r w:rsidRPr="00E11D9A">
        <w:rPr>
          <w:rFonts w:asciiTheme="minorHAnsi" w:hAnsiTheme="minorHAnsi" w:cstheme="minorHAnsi"/>
          <w:sz w:val="22"/>
          <w:szCs w:val="22"/>
        </w:rPr>
        <w:t xml:space="preserve">Priedas Nr. 9 </w:t>
      </w:r>
    </w:p>
    <w:p w14:paraId="1DE3BFB2" w14:textId="77777777" w:rsidR="00B752AA" w:rsidRDefault="00B752AA" w:rsidP="00B752AA">
      <w:pPr>
        <w:pStyle w:val="Caption"/>
        <w:spacing w:after="0"/>
        <w:rPr>
          <w:rFonts w:asciiTheme="minorHAnsi" w:hAnsiTheme="minorHAnsi" w:cstheme="minorHAnsi"/>
          <w:sz w:val="22"/>
          <w:szCs w:val="22"/>
        </w:rPr>
      </w:pPr>
    </w:p>
    <w:p w14:paraId="76AEB23E" w14:textId="63D7B96D" w:rsidR="002936E8" w:rsidRPr="00E11D9A" w:rsidRDefault="00E770F1" w:rsidP="00B752AA">
      <w:pPr>
        <w:pStyle w:val="Caption"/>
        <w:spacing w:after="0"/>
        <w:rPr>
          <w:rFonts w:asciiTheme="minorHAnsi" w:hAnsiTheme="minorHAnsi" w:cstheme="minorHAnsi"/>
          <w:sz w:val="22"/>
          <w:szCs w:val="22"/>
        </w:rPr>
      </w:pPr>
      <w:r w:rsidRPr="00E11D9A">
        <w:rPr>
          <w:rFonts w:asciiTheme="minorHAnsi" w:hAnsiTheme="minorHAnsi" w:cstheme="minorHAnsi"/>
          <w:sz w:val="22"/>
          <w:szCs w:val="22"/>
        </w:rPr>
        <w:t>Planuojamos ūkinės veiklos stacionarių triukšmo šaltini</w:t>
      </w:r>
      <w:r w:rsidR="00E11D9A" w:rsidRPr="00E11D9A">
        <w:rPr>
          <w:rFonts w:asciiTheme="minorHAnsi" w:hAnsiTheme="minorHAnsi" w:cstheme="minorHAnsi"/>
          <w:sz w:val="22"/>
          <w:szCs w:val="22"/>
        </w:rPr>
        <w:t>ų duomenys</w:t>
      </w:r>
    </w:p>
    <w:p w14:paraId="3686DB32" w14:textId="77777777" w:rsidR="002936E8" w:rsidRPr="00E11D9A" w:rsidRDefault="002936E8" w:rsidP="00CF0B04">
      <w:pPr>
        <w:pStyle w:val="Caption"/>
        <w:spacing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4C06AE92" w14:textId="1D3C204F" w:rsidR="00CF0B04" w:rsidRDefault="00E11D9A" w:rsidP="75AA2D97">
      <w:pPr>
        <w:pStyle w:val="ListParagraph"/>
        <w:numPr>
          <w:ilvl w:val="0"/>
          <w:numId w:val="1"/>
        </w:numPr>
        <w:spacing w:after="0"/>
        <w:ind w:left="284" w:hanging="284"/>
        <w:jc w:val="both"/>
      </w:pPr>
      <w:r w:rsidRPr="75AA2D97">
        <w:rPr>
          <w:rFonts w:asciiTheme="minorHAnsi" w:hAnsiTheme="minorHAnsi"/>
          <w:sz w:val="22"/>
        </w:rPr>
        <w:t>Užsakovas yra parengęs vandenilio gamyklos (VG) poveikio aplinkai vertinimo ataskaitą</w:t>
      </w:r>
      <w:r w:rsidR="00854E07" w:rsidRPr="75AA2D97">
        <w:rPr>
          <w:rFonts w:asciiTheme="minorHAnsi" w:hAnsiTheme="minorHAnsi"/>
          <w:sz w:val="22"/>
        </w:rPr>
        <w:t xml:space="preserve"> (PAV)</w:t>
      </w:r>
      <w:r w:rsidR="00A44D68" w:rsidRPr="75AA2D97">
        <w:rPr>
          <w:rFonts w:asciiTheme="minorHAnsi" w:hAnsiTheme="minorHAnsi"/>
          <w:sz w:val="22"/>
        </w:rPr>
        <w:t>. Poveikio aplink</w:t>
      </w:r>
      <w:r w:rsidR="00CB2D9E" w:rsidRPr="75AA2D97">
        <w:rPr>
          <w:rFonts w:asciiTheme="minorHAnsi" w:hAnsiTheme="minorHAnsi"/>
          <w:sz w:val="22"/>
        </w:rPr>
        <w:t>ai</w:t>
      </w:r>
      <w:r w:rsidR="00A44D68" w:rsidRPr="75AA2D97">
        <w:rPr>
          <w:rFonts w:asciiTheme="minorHAnsi" w:hAnsiTheme="minorHAnsi"/>
          <w:sz w:val="22"/>
        </w:rPr>
        <w:t xml:space="preserve"> vertinimo ataskaitos sprendiniai parengti žemiau </w:t>
      </w:r>
      <w:r w:rsidR="007450D2" w:rsidRPr="75AA2D97">
        <w:rPr>
          <w:rFonts w:asciiTheme="minorHAnsi" w:hAnsiTheme="minorHAnsi"/>
          <w:sz w:val="22"/>
        </w:rPr>
        <w:t xml:space="preserve">lentelėse </w:t>
      </w:r>
      <w:r w:rsidR="00A44D68" w:rsidRPr="75AA2D97">
        <w:rPr>
          <w:rFonts w:asciiTheme="minorHAnsi" w:hAnsiTheme="minorHAnsi"/>
          <w:sz w:val="22"/>
        </w:rPr>
        <w:t>išvardint</w:t>
      </w:r>
      <w:r w:rsidR="007450D2" w:rsidRPr="75AA2D97">
        <w:rPr>
          <w:rFonts w:asciiTheme="minorHAnsi" w:hAnsiTheme="minorHAnsi"/>
          <w:sz w:val="22"/>
        </w:rPr>
        <w:t>a</w:t>
      </w:r>
      <w:r w:rsidR="00A44D68" w:rsidRPr="75AA2D97">
        <w:rPr>
          <w:rFonts w:asciiTheme="minorHAnsi" w:hAnsiTheme="minorHAnsi"/>
          <w:sz w:val="22"/>
        </w:rPr>
        <w:t>i</w:t>
      </w:r>
      <w:r w:rsidR="007450D2" w:rsidRPr="75AA2D97">
        <w:rPr>
          <w:rFonts w:asciiTheme="minorHAnsi" w:hAnsiTheme="minorHAnsi"/>
          <w:sz w:val="22"/>
        </w:rPr>
        <w:t>s</w:t>
      </w:r>
      <w:r w:rsidR="00A44D68" w:rsidRPr="75AA2D97">
        <w:rPr>
          <w:rFonts w:asciiTheme="minorHAnsi" w:hAnsiTheme="minorHAnsi"/>
          <w:sz w:val="22"/>
        </w:rPr>
        <w:t xml:space="preserve"> duomenimis. </w:t>
      </w:r>
      <w:r w:rsidR="4C207D90" w:rsidRPr="75AA2D97">
        <w:rPr>
          <w:rFonts w:asciiTheme="minorHAnsi" w:hAnsiTheme="minorHAnsi"/>
          <w:sz w:val="22"/>
        </w:rPr>
        <w:t xml:space="preserve">Nuoroda į ataskaitą: </w:t>
      </w:r>
      <w:hyperlink r:id="rId9">
        <w:r w:rsidR="4C207D90" w:rsidRPr="75AA2D97">
          <w:rPr>
            <w:rStyle w:val="Hyperlink"/>
            <w:rFonts w:ascii="Aptos" w:eastAsia="Aptos" w:hAnsi="Aptos" w:cs="Aptos"/>
            <w:color w:val="0563C1"/>
            <w:sz w:val="22"/>
          </w:rPr>
          <w:t>https://tyrens.lt/lt/naujienos/informacija-apie-viesa-visuomenes-supazindinima-su-zaliojo-vandenilio-gamybos-viesajam-transportui-vilniaus-mieste-projekto-poveikio-aplinkai-vertinimo-ataskaitapranesimas-apie-zaliojo-vandenilio-gamy/</w:t>
        </w:r>
      </w:hyperlink>
    </w:p>
    <w:p w14:paraId="2FDF7B95" w14:textId="6DDC0A02" w:rsidR="00E11D9A" w:rsidRDefault="007450D2" w:rsidP="7F54C88D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Theme="minorHAnsi" w:hAnsiTheme="minorHAnsi"/>
          <w:sz w:val="22"/>
        </w:rPr>
      </w:pPr>
      <w:r w:rsidRPr="7F54C88D">
        <w:rPr>
          <w:rFonts w:asciiTheme="minorHAnsi" w:hAnsiTheme="minorHAnsi"/>
          <w:sz w:val="22"/>
        </w:rPr>
        <w:t>Rangovas yra atsakingas atsižvelgti į poveikio aplinkai vertinimo ataskaitos sprendinius</w:t>
      </w:r>
      <w:r w:rsidR="001A4914" w:rsidRPr="7F54C88D">
        <w:rPr>
          <w:rFonts w:asciiTheme="minorHAnsi" w:hAnsiTheme="minorHAnsi"/>
          <w:sz w:val="22"/>
        </w:rPr>
        <w:t xml:space="preserve"> ir parengti aplinkosauginės dalies sprendinius</w:t>
      </w:r>
      <w:r w:rsidR="00CF0B04" w:rsidRPr="7F54C88D">
        <w:rPr>
          <w:rFonts w:asciiTheme="minorHAnsi" w:hAnsiTheme="minorHAnsi"/>
          <w:sz w:val="22"/>
        </w:rPr>
        <w:t xml:space="preserve"> techniniame projekte</w:t>
      </w:r>
      <w:r w:rsidR="001A4914" w:rsidRPr="7F54C88D">
        <w:rPr>
          <w:rFonts w:asciiTheme="minorHAnsi" w:hAnsiTheme="minorHAnsi"/>
          <w:sz w:val="22"/>
        </w:rPr>
        <w:t>, kuriais patikslintų aplinkosauginius sprendinius</w:t>
      </w:r>
      <w:r w:rsidR="00EB2723" w:rsidRPr="7F54C88D">
        <w:rPr>
          <w:rFonts w:asciiTheme="minorHAnsi" w:hAnsiTheme="minorHAnsi"/>
          <w:sz w:val="22"/>
        </w:rPr>
        <w:t xml:space="preserve"> pagal galutinį Rangovo suprojektuotos gamyklos </w:t>
      </w:r>
      <w:r w:rsidR="00CF0B04" w:rsidRPr="7F54C88D">
        <w:rPr>
          <w:rFonts w:asciiTheme="minorHAnsi" w:hAnsiTheme="minorHAnsi"/>
          <w:sz w:val="22"/>
        </w:rPr>
        <w:t xml:space="preserve">išdėstymą sklype bei suprojektuotų </w:t>
      </w:r>
      <w:r w:rsidR="00EB2723" w:rsidRPr="7F54C88D">
        <w:rPr>
          <w:rFonts w:asciiTheme="minorHAnsi" w:hAnsiTheme="minorHAnsi"/>
          <w:sz w:val="22"/>
        </w:rPr>
        <w:t xml:space="preserve">įrenginių </w:t>
      </w:r>
      <w:r w:rsidR="00CF0B04" w:rsidRPr="7F54C88D">
        <w:rPr>
          <w:rFonts w:asciiTheme="minorHAnsi" w:hAnsiTheme="minorHAnsi"/>
          <w:sz w:val="22"/>
        </w:rPr>
        <w:t>tech</w:t>
      </w:r>
      <w:r w:rsidR="5397C0BD" w:rsidRPr="7F54C88D">
        <w:rPr>
          <w:rFonts w:asciiTheme="minorHAnsi" w:hAnsiTheme="minorHAnsi"/>
          <w:sz w:val="22"/>
        </w:rPr>
        <w:t>n</w:t>
      </w:r>
      <w:r w:rsidR="00CF0B04" w:rsidRPr="7F54C88D">
        <w:rPr>
          <w:rFonts w:asciiTheme="minorHAnsi" w:hAnsiTheme="minorHAnsi"/>
          <w:sz w:val="22"/>
        </w:rPr>
        <w:t xml:space="preserve">inius </w:t>
      </w:r>
      <w:r w:rsidR="00EB2723" w:rsidRPr="7F54C88D">
        <w:rPr>
          <w:rFonts w:asciiTheme="minorHAnsi" w:hAnsiTheme="minorHAnsi"/>
          <w:sz w:val="22"/>
        </w:rPr>
        <w:t xml:space="preserve">parametrus bei </w:t>
      </w:r>
      <w:r w:rsidR="00CE62FA" w:rsidRPr="7F54C88D">
        <w:rPr>
          <w:rFonts w:asciiTheme="minorHAnsi" w:hAnsiTheme="minorHAnsi"/>
          <w:sz w:val="22"/>
        </w:rPr>
        <w:t xml:space="preserve">stacionarių </w:t>
      </w:r>
      <w:r w:rsidR="00EB2723" w:rsidRPr="7F54C88D">
        <w:rPr>
          <w:rFonts w:asciiTheme="minorHAnsi" w:hAnsiTheme="minorHAnsi"/>
          <w:sz w:val="22"/>
        </w:rPr>
        <w:t>triukšmo šal</w:t>
      </w:r>
      <w:r w:rsidR="00CE62FA" w:rsidRPr="7F54C88D">
        <w:rPr>
          <w:rFonts w:asciiTheme="minorHAnsi" w:hAnsiTheme="minorHAnsi"/>
          <w:sz w:val="22"/>
        </w:rPr>
        <w:t>tinių išdėstymą.</w:t>
      </w:r>
    </w:p>
    <w:p w14:paraId="36F8B23D" w14:textId="47173096" w:rsidR="002936E8" w:rsidRDefault="00854E07" w:rsidP="00CF0B04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Theme="minorHAnsi" w:hAnsiTheme="minorHAnsi" w:cstheme="minorHAnsi"/>
          <w:sz w:val="22"/>
        </w:rPr>
      </w:pPr>
      <w:r w:rsidRPr="75AA2D97">
        <w:rPr>
          <w:rFonts w:asciiTheme="minorHAnsi" w:hAnsiTheme="minorHAnsi"/>
          <w:sz w:val="22"/>
        </w:rPr>
        <w:t>PAV sprendiniai parengti vadovaujantis lentelėje Nr. 1</w:t>
      </w:r>
      <w:r w:rsidR="00CF0B04" w:rsidRPr="75AA2D97">
        <w:rPr>
          <w:rFonts w:asciiTheme="minorHAnsi" w:hAnsiTheme="minorHAnsi"/>
          <w:sz w:val="22"/>
        </w:rPr>
        <w:t xml:space="preserve"> šaltiniais:</w:t>
      </w:r>
    </w:p>
    <w:p w14:paraId="6B98A4D2" w14:textId="77777777" w:rsidR="00CF0B04" w:rsidRPr="00E11D9A" w:rsidRDefault="00CF0B04" w:rsidP="00CF0B04">
      <w:pPr>
        <w:pStyle w:val="Caption"/>
        <w:spacing w:after="0"/>
        <w:jc w:val="right"/>
        <w:rPr>
          <w:rFonts w:asciiTheme="minorHAnsi" w:hAnsiTheme="minorHAnsi" w:cstheme="minorHAnsi"/>
          <w:sz w:val="22"/>
          <w:szCs w:val="22"/>
        </w:rPr>
      </w:pPr>
      <w:r w:rsidRPr="00E11D9A">
        <w:rPr>
          <w:rFonts w:asciiTheme="minorHAnsi" w:hAnsiTheme="minorHAnsi" w:cstheme="minorHAnsi"/>
          <w:sz w:val="22"/>
          <w:szCs w:val="22"/>
        </w:rPr>
        <w:t>Lentelė 1. Planuojamos ūkinės veiklos stacionarių triukšmo šaltinių duomenys</w:t>
      </w: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552"/>
        <w:gridCol w:w="1580"/>
        <w:gridCol w:w="2948"/>
        <w:gridCol w:w="1860"/>
      </w:tblGrid>
      <w:tr w:rsidR="00CF0B04" w:rsidRPr="00E11D9A" w14:paraId="2089C844" w14:textId="77777777" w:rsidTr="004C22B5">
        <w:trPr>
          <w:cantSplit/>
          <w:trHeight w:val="255"/>
          <w:tblHeader/>
        </w:trPr>
        <w:tc>
          <w:tcPr>
            <w:tcW w:w="570" w:type="dxa"/>
            <w:shd w:val="clear" w:color="auto" w:fill="D0CECE" w:themeFill="background2" w:themeFillShade="E6"/>
            <w:noWrap/>
            <w:vAlign w:val="center"/>
            <w:hideMark/>
          </w:tcPr>
          <w:p w14:paraId="59F7FCAE" w14:textId="77777777" w:rsidR="00CF0B04" w:rsidRPr="00E11D9A" w:rsidRDefault="00CF0B04" w:rsidP="00CF0B04">
            <w:pPr>
              <w:keepNext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b/>
                <w:bCs/>
                <w:sz w:val="22"/>
                <w:lang w:eastAsia="lt-LT"/>
              </w:rPr>
              <w:t>Eil. Nr.</w:t>
            </w:r>
          </w:p>
        </w:tc>
        <w:tc>
          <w:tcPr>
            <w:tcW w:w="2552" w:type="dxa"/>
            <w:shd w:val="clear" w:color="auto" w:fill="D0CECE" w:themeFill="background2" w:themeFillShade="E6"/>
            <w:noWrap/>
            <w:vAlign w:val="center"/>
            <w:hideMark/>
          </w:tcPr>
          <w:p w14:paraId="19A58ABC" w14:textId="77777777" w:rsidR="00CF0B04" w:rsidRPr="00E11D9A" w:rsidRDefault="00CF0B04" w:rsidP="00CF0B04">
            <w:pPr>
              <w:keepNext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b/>
                <w:bCs/>
                <w:sz w:val="22"/>
                <w:lang w:eastAsia="lt-LT"/>
              </w:rPr>
              <w:t>Pavadinimas</w:t>
            </w:r>
          </w:p>
        </w:tc>
        <w:tc>
          <w:tcPr>
            <w:tcW w:w="1580" w:type="dxa"/>
            <w:shd w:val="clear" w:color="auto" w:fill="D0CECE" w:themeFill="background2" w:themeFillShade="E6"/>
            <w:noWrap/>
            <w:vAlign w:val="center"/>
            <w:hideMark/>
          </w:tcPr>
          <w:p w14:paraId="7EC81ADF" w14:textId="77777777" w:rsidR="00CF0B04" w:rsidRPr="00E11D9A" w:rsidRDefault="00CF0B04" w:rsidP="00CF0B04">
            <w:pPr>
              <w:keepNext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b/>
                <w:bCs/>
                <w:sz w:val="22"/>
                <w:lang w:eastAsia="lt-LT"/>
              </w:rPr>
              <w:t>Garso galios lygis, dBA</w:t>
            </w:r>
          </w:p>
        </w:tc>
        <w:tc>
          <w:tcPr>
            <w:tcW w:w="2948" w:type="dxa"/>
            <w:shd w:val="clear" w:color="auto" w:fill="D0CECE" w:themeFill="background2" w:themeFillShade="E6"/>
            <w:noWrap/>
            <w:vAlign w:val="center"/>
            <w:hideMark/>
          </w:tcPr>
          <w:p w14:paraId="5DBBCF47" w14:textId="77777777" w:rsidR="00CF0B04" w:rsidRPr="00E11D9A" w:rsidRDefault="00CF0B04" w:rsidP="00CF0B04">
            <w:pPr>
              <w:keepNext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b/>
                <w:bCs/>
                <w:sz w:val="22"/>
                <w:lang w:eastAsia="lt-LT"/>
              </w:rPr>
              <w:t>Aukštis virš žemės paviršiaus, m</w:t>
            </w:r>
          </w:p>
        </w:tc>
        <w:tc>
          <w:tcPr>
            <w:tcW w:w="1860" w:type="dxa"/>
            <w:shd w:val="clear" w:color="auto" w:fill="D0CECE" w:themeFill="background2" w:themeFillShade="E6"/>
            <w:noWrap/>
            <w:vAlign w:val="center"/>
            <w:hideMark/>
          </w:tcPr>
          <w:p w14:paraId="090BB0C9" w14:textId="77777777" w:rsidR="00CF0B04" w:rsidRPr="00E11D9A" w:rsidRDefault="00CF0B04" w:rsidP="00CF0B04">
            <w:pPr>
              <w:keepNext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b/>
                <w:bCs/>
                <w:sz w:val="22"/>
                <w:lang w:eastAsia="lt-LT"/>
              </w:rPr>
              <w:t>Koordinatės, m (LKS94)</w:t>
            </w:r>
          </w:p>
        </w:tc>
      </w:tr>
      <w:tr w:rsidR="00CF0B04" w:rsidRPr="00E11D9A" w14:paraId="0C87028B" w14:textId="77777777" w:rsidTr="004C22B5">
        <w:trPr>
          <w:cantSplit/>
          <w:trHeight w:val="248"/>
          <w:tblHeader/>
        </w:trPr>
        <w:tc>
          <w:tcPr>
            <w:tcW w:w="570" w:type="dxa"/>
            <w:shd w:val="clear" w:color="auto" w:fill="auto"/>
            <w:noWrap/>
            <w:vAlign w:val="bottom"/>
            <w:hideMark/>
          </w:tcPr>
          <w:p w14:paraId="60D4A9D9" w14:textId="77777777" w:rsidR="00CF0B04" w:rsidRPr="00E11D9A" w:rsidRDefault="00CF0B04" w:rsidP="00CF0B04">
            <w:pPr>
              <w:keepNext/>
              <w:spacing w:after="0"/>
              <w:jc w:val="center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1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984DF2B" w14:textId="77777777" w:rsidR="00CF0B04" w:rsidRPr="00E11D9A" w:rsidRDefault="00CF0B04" w:rsidP="00CF0B04">
            <w:pPr>
              <w:keepNext/>
              <w:spacing w:after="0"/>
              <w:jc w:val="center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59725FB1" w14:textId="77777777" w:rsidR="00CF0B04" w:rsidRPr="00E11D9A" w:rsidRDefault="00CF0B04" w:rsidP="00CF0B04">
            <w:pPr>
              <w:keepNext/>
              <w:spacing w:after="0"/>
              <w:jc w:val="center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3</w:t>
            </w:r>
          </w:p>
        </w:tc>
        <w:tc>
          <w:tcPr>
            <w:tcW w:w="2948" w:type="dxa"/>
            <w:shd w:val="clear" w:color="auto" w:fill="auto"/>
            <w:noWrap/>
            <w:vAlign w:val="bottom"/>
            <w:hideMark/>
          </w:tcPr>
          <w:p w14:paraId="13CDF8CC" w14:textId="77777777" w:rsidR="00CF0B04" w:rsidRPr="00E11D9A" w:rsidRDefault="00CF0B04" w:rsidP="00CF0B04">
            <w:pPr>
              <w:keepNext/>
              <w:spacing w:after="0"/>
              <w:jc w:val="center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4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FCE6860" w14:textId="77777777" w:rsidR="00CF0B04" w:rsidRPr="00E11D9A" w:rsidRDefault="00CF0B04" w:rsidP="00CF0B04">
            <w:pPr>
              <w:keepNext/>
              <w:spacing w:after="0"/>
              <w:jc w:val="center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</w:t>
            </w:r>
          </w:p>
        </w:tc>
      </w:tr>
      <w:tr w:rsidR="00CF0B04" w:rsidRPr="00E11D9A" w14:paraId="5CD6D387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327955E7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1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73E15CBA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Oro kompresorius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27AF354C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72 (-15 dBA pataisa)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079C637A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1,3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15A10202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579573,06; 6059139,41</w:t>
            </w:r>
          </w:p>
        </w:tc>
      </w:tr>
      <w:tr w:rsidR="00CF0B04" w:rsidRPr="00E11D9A" w14:paraId="627F2B87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387DC2DA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2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4BA8F2BF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Vandenilio kompresorius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2B756327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78 (-15 dBA pataisa)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516999DF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1,5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5B40DD85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579582,8; 6059136,71</w:t>
            </w:r>
          </w:p>
        </w:tc>
      </w:tr>
      <w:tr w:rsidR="00CF0B04" w:rsidRPr="00E11D9A" w14:paraId="0E7C6B86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43B5CFAE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3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30ED26CB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Aušintuvas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14F618C2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72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40208A3E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0,8 (aukštis virš elektrolizerio konteinerio stogo)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3B64361B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579583,96; 6059130,69</w:t>
            </w:r>
          </w:p>
        </w:tc>
      </w:tr>
      <w:tr w:rsidR="00CF0B04" w:rsidRPr="00E11D9A" w14:paraId="1E1711B9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5635B29E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4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6512476A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Aušintuvas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094A9C8E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72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0E64AE68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0,8 (aukštis virš elektrolizerio konteinerio stogo)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478395CF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579581,7; 6059123,99</w:t>
            </w:r>
          </w:p>
        </w:tc>
      </w:tr>
      <w:tr w:rsidR="00CF0B04" w:rsidRPr="00E11D9A" w14:paraId="43B99DE0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760FB2C8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534A94EC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Aušintuvas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6F3FFBB8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72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04A8C7D2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0,8 (aukštis virš elektrolizerio konteinerio stogo)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5A066E12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579579,44; 6059117,29</w:t>
            </w:r>
          </w:p>
        </w:tc>
      </w:tr>
      <w:tr w:rsidR="00CF0B04" w:rsidRPr="00E11D9A" w14:paraId="7E040C67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42EA8573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6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3A0E55E8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Elektros transformatorius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530289E9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69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23718750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1,2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5560CF78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579597,44; 6059131,66</w:t>
            </w:r>
          </w:p>
        </w:tc>
      </w:tr>
      <w:tr w:rsidR="00CF0B04" w:rsidRPr="00E11D9A" w14:paraId="1BF5FAD9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7C5CB523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0B9E0B4F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Elektros transformatorius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49249876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69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1BF9BAA4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1,2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5679DBE6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579595,19; 6059124,96</w:t>
            </w:r>
          </w:p>
        </w:tc>
      </w:tr>
      <w:tr w:rsidR="00CF0B04" w:rsidRPr="00E11D9A" w14:paraId="753DF8A1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46A506B6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8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43FF5094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Elektros transformatorius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34C31D26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69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3C421D69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1,2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4F6F207B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579592,94; 6059118,25</w:t>
            </w:r>
          </w:p>
        </w:tc>
      </w:tr>
      <w:tr w:rsidR="00CF0B04" w:rsidRPr="00E11D9A" w14:paraId="6677D5E8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6578328B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9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4F37FAA7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Elektros transformatorius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3197B1AF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69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23885853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1,2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40B12226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579590,7; 6059111,55</w:t>
            </w:r>
          </w:p>
        </w:tc>
      </w:tr>
      <w:tr w:rsidR="00CF0B04" w:rsidRPr="00E11D9A" w14:paraId="6BD1E4EC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1E5617C6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10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67DACF62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Dujų šalinimo kaminėlis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5052D53E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72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14CB81EB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5E43D868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579578,23; 6059132,66</w:t>
            </w:r>
          </w:p>
        </w:tc>
      </w:tr>
      <w:tr w:rsidR="00CF0B04" w:rsidRPr="00E11D9A" w14:paraId="0AC1D028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6E481516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11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5E5DE7CC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Dujų šalinimo kaminėlis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53927239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72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3434CAE0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6857C8DE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579589,76; 6059128,71</w:t>
            </w:r>
          </w:p>
        </w:tc>
      </w:tr>
      <w:tr w:rsidR="00CF0B04" w:rsidRPr="00E11D9A" w14:paraId="58B13844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485B4A66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12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714209E9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Dujų šalinimo kaminėlis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0D832E34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72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7C902C6C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42051987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579575,91; 6059125,99</w:t>
            </w:r>
          </w:p>
        </w:tc>
      </w:tr>
      <w:tr w:rsidR="00CF0B04" w:rsidRPr="00E11D9A" w14:paraId="7121DCF8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21C87BF2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13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2347B454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Dujų šalinimo kaminėlis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10DDC3F3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72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26B2F50E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3A6FE145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579587,52; 6059122,07</w:t>
            </w:r>
          </w:p>
        </w:tc>
      </w:tr>
      <w:tr w:rsidR="00CF0B04" w:rsidRPr="00E11D9A" w14:paraId="1AA620FF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3B270C2E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14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640B24BD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Dujų šalinimo kaminėlis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1A8D534F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72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3AC1BFB6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35E483EE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579573,64; 6059119,25</w:t>
            </w:r>
          </w:p>
        </w:tc>
      </w:tr>
      <w:tr w:rsidR="00CF0B04" w:rsidRPr="00E11D9A" w14:paraId="56686AEB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724CA0D0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15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00C24507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Dujų šalinimo kaminėlis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37DEBB97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72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76CF6379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0D28198A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579585,25; 6059115,34</w:t>
            </w:r>
          </w:p>
        </w:tc>
      </w:tr>
      <w:tr w:rsidR="00CF0B04" w:rsidRPr="00E11D9A" w14:paraId="6E1895A9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7EDAA484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16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24E6526B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Dujų šalinimo kaminėlis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32F48D17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73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6AD58A5D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3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1D29F7EA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579579,05; 6059116,16</w:t>
            </w:r>
          </w:p>
        </w:tc>
      </w:tr>
      <w:tr w:rsidR="00CF0B04" w:rsidRPr="00E11D9A" w14:paraId="3C7817D0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40326370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17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681DA104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Dujų šalinimo kaminėlis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53B714C8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73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31A51FF0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3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26C70784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579581,25; 6059122,88</w:t>
            </w:r>
          </w:p>
        </w:tc>
      </w:tr>
      <w:tr w:rsidR="00CF0B04" w:rsidRPr="00E11D9A" w14:paraId="22B92CD3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66365DA1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lastRenderedPageBreak/>
              <w:t>18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4EB2C5E0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Dujų šalinimo kaminėlis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3B5DFACA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73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1F6AFE1D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3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66A35322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579583,56; 6059129,5</w:t>
            </w:r>
          </w:p>
        </w:tc>
      </w:tr>
      <w:tr w:rsidR="00CF0B04" w:rsidRPr="00E11D9A" w14:paraId="0E0FF680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34F95C97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19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5D61E0B3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Apatinė vėdinimo anga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0EF616AF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75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11D10162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0,5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1A2EBCDC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579585,27; 6059115,33</w:t>
            </w:r>
          </w:p>
        </w:tc>
      </w:tr>
      <w:tr w:rsidR="00CF0B04" w:rsidRPr="00E11D9A" w14:paraId="0F6A0F5B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15705748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20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11D12346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Apatinė vėdinimo anga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1F42FE29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75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681D3A8B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0,5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445BC38F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579587,54; 6059122,06</w:t>
            </w:r>
          </w:p>
        </w:tc>
      </w:tr>
      <w:tr w:rsidR="00CF0B04" w:rsidRPr="00E11D9A" w14:paraId="4406443F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72DBD7B1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21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76EEA5FF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Apatinė vėdinimo anga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3C631BDA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75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4130498B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0,5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7482410B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579589,78; 6059128,7</w:t>
            </w:r>
          </w:p>
        </w:tc>
      </w:tr>
      <w:tr w:rsidR="00CF0B04" w:rsidRPr="00E11D9A" w14:paraId="78168D08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3F750B77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22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0845A143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Apatinė vėdinimo anga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72483053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75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5672C7B4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0,5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0C641F6F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579578,14; 6059132,69</w:t>
            </w:r>
          </w:p>
        </w:tc>
      </w:tr>
      <w:tr w:rsidR="00CF0B04" w:rsidRPr="00E11D9A" w14:paraId="0B968363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142D7674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23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2F25EE13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Apatinė vėdinimo anga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5D2B0FA4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75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5803DE05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0,5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27693EAF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579575,88; 6059126</w:t>
            </w:r>
          </w:p>
        </w:tc>
      </w:tr>
      <w:tr w:rsidR="00CF0B04" w:rsidRPr="00E11D9A" w14:paraId="7E234265" w14:textId="77777777" w:rsidTr="004C22B5">
        <w:trPr>
          <w:trHeight w:val="255"/>
        </w:trPr>
        <w:tc>
          <w:tcPr>
            <w:tcW w:w="570" w:type="dxa"/>
            <w:shd w:val="clear" w:color="auto" w:fill="auto"/>
            <w:noWrap/>
            <w:hideMark/>
          </w:tcPr>
          <w:p w14:paraId="283B2F34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24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018EA740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Apatinė vėdinimo anga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14:paraId="58B2EF0E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75</w:t>
            </w:r>
          </w:p>
        </w:tc>
        <w:tc>
          <w:tcPr>
            <w:tcW w:w="2948" w:type="dxa"/>
            <w:shd w:val="clear" w:color="auto" w:fill="auto"/>
            <w:noWrap/>
            <w:hideMark/>
          </w:tcPr>
          <w:p w14:paraId="6389DDC0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0,5</w:t>
            </w:r>
          </w:p>
        </w:tc>
        <w:tc>
          <w:tcPr>
            <w:tcW w:w="1860" w:type="dxa"/>
            <w:shd w:val="clear" w:color="auto" w:fill="auto"/>
            <w:noWrap/>
            <w:hideMark/>
          </w:tcPr>
          <w:p w14:paraId="3B0D091C" w14:textId="77777777" w:rsidR="00CF0B04" w:rsidRPr="00E11D9A" w:rsidRDefault="00CF0B04" w:rsidP="00CF0B04">
            <w:pPr>
              <w:spacing w:after="0"/>
              <w:rPr>
                <w:rFonts w:asciiTheme="minorHAnsi" w:hAnsiTheme="minorHAnsi" w:cstheme="minorHAnsi"/>
                <w:sz w:val="22"/>
                <w:lang w:eastAsia="lt-LT"/>
              </w:rPr>
            </w:pPr>
            <w:r w:rsidRPr="00E11D9A">
              <w:rPr>
                <w:rFonts w:asciiTheme="minorHAnsi" w:hAnsiTheme="minorHAnsi" w:cstheme="minorHAnsi"/>
                <w:sz w:val="22"/>
                <w:lang w:eastAsia="lt-LT"/>
              </w:rPr>
              <w:t>579573,61; 6059119,26</w:t>
            </w:r>
          </w:p>
        </w:tc>
      </w:tr>
    </w:tbl>
    <w:p w14:paraId="1C2CAD2A" w14:textId="77777777" w:rsidR="00CF0B04" w:rsidRPr="00CF0B04" w:rsidRDefault="00CF0B04" w:rsidP="00CF0B04">
      <w:pPr>
        <w:spacing w:after="0"/>
        <w:jc w:val="both"/>
        <w:rPr>
          <w:rFonts w:asciiTheme="minorHAnsi" w:hAnsiTheme="minorHAnsi" w:cstheme="minorHAnsi"/>
          <w:sz w:val="22"/>
        </w:rPr>
      </w:pPr>
    </w:p>
    <w:p w14:paraId="6DBCA2F4" w14:textId="6645BB3B" w:rsidR="00CF0B04" w:rsidRPr="00CF0B04" w:rsidRDefault="00CF0B04" w:rsidP="00CF0B04">
      <w:pPr>
        <w:pStyle w:val="ListParagraph"/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 w:cstheme="minorHAnsi"/>
          <w:sz w:val="22"/>
        </w:rPr>
      </w:pPr>
      <w:r w:rsidRPr="75AA2D97">
        <w:rPr>
          <w:rFonts w:asciiTheme="minorHAnsi" w:eastAsia="Times New Roman" w:hAnsiTheme="minorHAnsi"/>
          <w:color w:val="000000" w:themeColor="text1"/>
          <w:sz w:val="22"/>
        </w:rPr>
        <w:t>Triukšmo ribiniai dydžiai, kurie taikomi planuojamai ūkinei veiklai vertinti nurodyti 2 ir 3 lentelėse.</w:t>
      </w:r>
    </w:p>
    <w:bookmarkEnd w:id="0"/>
    <w:p w14:paraId="312FBF88" w14:textId="77777777" w:rsidR="00CF0B04" w:rsidRDefault="00CF0B04" w:rsidP="00CF0B04">
      <w:pPr>
        <w:spacing w:after="0"/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</w:pPr>
    </w:p>
    <w:p w14:paraId="54CB933C" w14:textId="0994EC09" w:rsidR="002D3D66" w:rsidRPr="00E11D9A" w:rsidRDefault="00CF0B04" w:rsidP="00CF0B04">
      <w:pPr>
        <w:spacing w:after="0"/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</w:pPr>
      <w:r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  <w:t>L</w:t>
      </w:r>
      <w:r w:rsidR="7914CA81" w:rsidRPr="00E11D9A"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  <w:t>entelė</w:t>
      </w:r>
      <w:r w:rsidR="700BB1E6" w:rsidRPr="00E11D9A"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  <w:t xml:space="preserve"> 2</w:t>
      </w:r>
      <w:r w:rsidR="7914CA81" w:rsidRPr="00E11D9A"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  <w:t>. Lietuvos higienos normoje HN 33:2011 nustatyti didžiausi leidžiami triukšmo ribiniai dydžiai gyvenamųjų ir visuomeninės paskirties pastatų aplinkoje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7"/>
        <w:gridCol w:w="1418"/>
        <w:gridCol w:w="2263"/>
      </w:tblGrid>
      <w:tr w:rsidR="39D494E2" w:rsidRPr="00E11D9A" w14:paraId="7CDC441A" w14:textId="77777777" w:rsidTr="00CF0B04">
        <w:trPr>
          <w:trHeight w:val="300"/>
        </w:trPr>
        <w:tc>
          <w:tcPr>
            <w:tcW w:w="5807" w:type="dxa"/>
            <w:shd w:val="clear" w:color="auto" w:fill="D0CECE" w:themeFill="background2" w:themeFillShade="E6"/>
            <w:tcMar>
              <w:left w:w="108" w:type="dxa"/>
              <w:right w:w="108" w:type="dxa"/>
            </w:tcMar>
            <w:vAlign w:val="center"/>
          </w:tcPr>
          <w:p w14:paraId="626FE424" w14:textId="64AA71CE" w:rsidR="39D494E2" w:rsidRPr="00E11D9A" w:rsidRDefault="39D494E2" w:rsidP="00CF0B04">
            <w:pPr>
              <w:spacing w:after="0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Objekto pavadinimas</w:t>
            </w:r>
          </w:p>
        </w:tc>
        <w:tc>
          <w:tcPr>
            <w:tcW w:w="1418" w:type="dxa"/>
            <w:shd w:val="clear" w:color="auto" w:fill="D0CECE" w:themeFill="background2" w:themeFillShade="E6"/>
            <w:tcMar>
              <w:left w:w="108" w:type="dxa"/>
              <w:right w:w="108" w:type="dxa"/>
            </w:tcMar>
            <w:vAlign w:val="center"/>
          </w:tcPr>
          <w:p w14:paraId="2C6CAEF5" w14:textId="0EAB301D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Paros laikas</w:t>
            </w:r>
          </w:p>
        </w:tc>
        <w:tc>
          <w:tcPr>
            <w:tcW w:w="2263" w:type="dxa"/>
            <w:shd w:val="clear" w:color="auto" w:fill="D0CECE" w:themeFill="background2" w:themeFillShade="E6"/>
            <w:tcMar>
              <w:left w:w="108" w:type="dxa"/>
              <w:right w:w="108" w:type="dxa"/>
            </w:tcMar>
            <w:vAlign w:val="center"/>
          </w:tcPr>
          <w:p w14:paraId="366456FE" w14:textId="2F91C3ED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Ekvivalentinis garso slėgio lygis (L</w:t>
            </w: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vertAlign w:val="subscript"/>
              </w:rPr>
              <w:t>AeqT</w:t>
            </w: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), dBA</w:t>
            </w:r>
          </w:p>
        </w:tc>
      </w:tr>
      <w:tr w:rsidR="39D494E2" w:rsidRPr="00E11D9A" w14:paraId="1AAA5002" w14:textId="77777777" w:rsidTr="00CF0B04">
        <w:trPr>
          <w:trHeight w:val="300"/>
        </w:trPr>
        <w:tc>
          <w:tcPr>
            <w:tcW w:w="5807" w:type="dxa"/>
            <w:tcMar>
              <w:left w:w="108" w:type="dxa"/>
              <w:right w:w="108" w:type="dxa"/>
            </w:tcMar>
            <w:vAlign w:val="center"/>
          </w:tcPr>
          <w:p w14:paraId="2A022739" w14:textId="00B813AD" w:rsidR="39D494E2" w:rsidRPr="00E11D9A" w:rsidRDefault="39D494E2" w:rsidP="00CF0B04">
            <w:pPr>
              <w:spacing w:after="0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Gyvenamųjų pastatų ir visuomeninės paskirties pastatų (išskyrus maitinimo ir kultūros paskirties pastatus) aplinkoje, veikiamoje transporto sukeliamo triukšmo</w:t>
            </w:r>
          </w:p>
        </w:tc>
        <w:tc>
          <w:tcPr>
            <w:tcW w:w="1418" w:type="dxa"/>
            <w:tcMar>
              <w:left w:w="108" w:type="dxa"/>
              <w:right w:w="108" w:type="dxa"/>
            </w:tcMar>
            <w:vAlign w:val="center"/>
          </w:tcPr>
          <w:p w14:paraId="716C51FD" w14:textId="4C686E9E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diena</w:t>
            </w:r>
          </w:p>
          <w:p w14:paraId="300217B1" w14:textId="369F9D88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vakaras</w:t>
            </w:r>
          </w:p>
          <w:p w14:paraId="378E4C8C" w14:textId="45C7116E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naktis</w:t>
            </w:r>
          </w:p>
        </w:tc>
        <w:tc>
          <w:tcPr>
            <w:tcW w:w="2263" w:type="dxa"/>
            <w:tcMar>
              <w:left w:w="108" w:type="dxa"/>
              <w:right w:w="108" w:type="dxa"/>
            </w:tcMar>
            <w:vAlign w:val="center"/>
          </w:tcPr>
          <w:p w14:paraId="28E2453B" w14:textId="5E233967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65</w:t>
            </w:r>
          </w:p>
          <w:p w14:paraId="18610FDB" w14:textId="331ABDC4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60</w:t>
            </w:r>
          </w:p>
          <w:p w14:paraId="2A90120A" w14:textId="3014F628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55</w:t>
            </w:r>
          </w:p>
        </w:tc>
      </w:tr>
      <w:tr w:rsidR="39D494E2" w:rsidRPr="00E11D9A" w14:paraId="593EF37E" w14:textId="77777777" w:rsidTr="00CF0B04">
        <w:trPr>
          <w:trHeight w:val="300"/>
        </w:trPr>
        <w:tc>
          <w:tcPr>
            <w:tcW w:w="5807" w:type="dxa"/>
            <w:tcMar>
              <w:left w:w="108" w:type="dxa"/>
              <w:right w:w="108" w:type="dxa"/>
            </w:tcMar>
            <w:vAlign w:val="center"/>
          </w:tcPr>
          <w:p w14:paraId="0C26516F" w14:textId="7245FC27" w:rsidR="39D494E2" w:rsidRPr="00E11D9A" w:rsidRDefault="39D494E2" w:rsidP="00CF0B04">
            <w:pPr>
              <w:spacing w:after="0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Gyvenamųjų pastatų ir visuomeninės paskirties pastatų (išskyrus maitinimo ir kultūros paskirties pastatus) aplinkoje, išskyrus transporto sukeliamą triukšmą</w:t>
            </w:r>
          </w:p>
        </w:tc>
        <w:tc>
          <w:tcPr>
            <w:tcW w:w="1418" w:type="dxa"/>
            <w:tcMar>
              <w:left w:w="108" w:type="dxa"/>
              <w:right w:w="108" w:type="dxa"/>
            </w:tcMar>
            <w:vAlign w:val="center"/>
          </w:tcPr>
          <w:p w14:paraId="62E97A6A" w14:textId="16DCA540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diena</w:t>
            </w:r>
          </w:p>
          <w:p w14:paraId="5E8B3C8B" w14:textId="2DA72FAE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vakaras</w:t>
            </w:r>
          </w:p>
          <w:p w14:paraId="19FCC987" w14:textId="68DFB895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naktis</w:t>
            </w:r>
          </w:p>
        </w:tc>
        <w:tc>
          <w:tcPr>
            <w:tcW w:w="2263" w:type="dxa"/>
            <w:tcMar>
              <w:left w:w="108" w:type="dxa"/>
              <w:right w:w="108" w:type="dxa"/>
            </w:tcMar>
            <w:vAlign w:val="center"/>
          </w:tcPr>
          <w:p w14:paraId="677177D6" w14:textId="39479864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55</w:t>
            </w:r>
          </w:p>
          <w:p w14:paraId="524569E1" w14:textId="6D22C176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50</w:t>
            </w:r>
          </w:p>
          <w:p w14:paraId="669BB86B" w14:textId="01939F16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45</w:t>
            </w:r>
          </w:p>
        </w:tc>
      </w:tr>
    </w:tbl>
    <w:p w14:paraId="40AA59B5" w14:textId="37D5A39A" w:rsidR="002D3D66" w:rsidRPr="00E11D9A" w:rsidRDefault="7914CA81" w:rsidP="00CF0B04">
      <w:pPr>
        <w:spacing w:after="0"/>
        <w:rPr>
          <w:rFonts w:asciiTheme="minorHAnsi" w:hAnsiTheme="minorHAnsi" w:cstheme="minorHAnsi"/>
          <w:sz w:val="22"/>
        </w:rPr>
      </w:pPr>
      <w:r w:rsidRPr="00E11D9A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 </w:t>
      </w:r>
    </w:p>
    <w:p w14:paraId="4C0705B7" w14:textId="6F3F2386" w:rsidR="002D3D66" w:rsidRPr="00E11D9A" w:rsidRDefault="187C1EDC" w:rsidP="00CF0B04">
      <w:pPr>
        <w:spacing w:after="0"/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</w:pPr>
      <w:r w:rsidRPr="00E11D9A"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  <w:t>L</w:t>
      </w:r>
      <w:r w:rsidR="7914CA81" w:rsidRPr="00E11D9A"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  <w:t>entelė</w:t>
      </w:r>
      <w:r w:rsidRPr="00E11D9A"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  <w:t xml:space="preserve"> 3</w:t>
      </w:r>
      <w:r w:rsidR="7914CA81" w:rsidRPr="00E11D9A"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  <w:t>. Lietuvos higienos normoje HN 33:2011 nustatyti didžiausi leidžiami triukšmo ribiniai dydžiai, naudojami triukšmo strateginio kartografavimo rezultatams įvertinti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191"/>
        <w:gridCol w:w="1219"/>
        <w:gridCol w:w="1276"/>
        <w:gridCol w:w="1129"/>
      </w:tblGrid>
      <w:tr w:rsidR="39D494E2" w:rsidRPr="00E11D9A" w14:paraId="5AEF1184" w14:textId="77777777" w:rsidTr="00CF0B04">
        <w:trPr>
          <w:trHeight w:val="300"/>
        </w:trPr>
        <w:tc>
          <w:tcPr>
            <w:tcW w:w="4673" w:type="dxa"/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14:paraId="099D1F66" w14:textId="1DB1E494" w:rsidR="39D494E2" w:rsidRPr="00E11D9A" w:rsidRDefault="39D494E2" w:rsidP="00CF0B04">
            <w:pPr>
              <w:spacing w:after="0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Objekto pavadinimas</w:t>
            </w:r>
          </w:p>
        </w:tc>
        <w:tc>
          <w:tcPr>
            <w:tcW w:w="1191" w:type="dxa"/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14:paraId="11AD9DB9" w14:textId="7B6FEB55" w:rsidR="39D494E2" w:rsidRPr="00E11D9A" w:rsidRDefault="39D494E2" w:rsidP="00CF0B04">
            <w:pPr>
              <w:spacing w:after="0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L</w:t>
            </w: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vertAlign w:val="subscript"/>
              </w:rPr>
              <w:t>dienos</w:t>
            </w: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, dBA</w:t>
            </w:r>
          </w:p>
        </w:tc>
        <w:tc>
          <w:tcPr>
            <w:tcW w:w="1219" w:type="dxa"/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14:paraId="5AFC68CE" w14:textId="258FF68A" w:rsidR="39D494E2" w:rsidRPr="00E11D9A" w:rsidRDefault="39D494E2" w:rsidP="00CF0B04">
            <w:pPr>
              <w:spacing w:after="0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L</w:t>
            </w: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vertAlign w:val="subscript"/>
              </w:rPr>
              <w:t>vakaro</w:t>
            </w: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, dBA</w:t>
            </w:r>
          </w:p>
        </w:tc>
        <w:tc>
          <w:tcPr>
            <w:tcW w:w="1276" w:type="dxa"/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14:paraId="5C716A4E" w14:textId="78A93629" w:rsidR="39D494E2" w:rsidRPr="00E11D9A" w:rsidRDefault="39D494E2" w:rsidP="00CF0B04">
            <w:pPr>
              <w:spacing w:after="0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L</w:t>
            </w: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vertAlign w:val="subscript"/>
              </w:rPr>
              <w:t>nakties</w:t>
            </w: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, dBA</w:t>
            </w:r>
          </w:p>
        </w:tc>
        <w:tc>
          <w:tcPr>
            <w:tcW w:w="1129" w:type="dxa"/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14:paraId="1862765E" w14:textId="7601A68D" w:rsidR="39D494E2" w:rsidRPr="00E11D9A" w:rsidRDefault="39D494E2" w:rsidP="00CF0B04">
            <w:pPr>
              <w:spacing w:after="0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L</w:t>
            </w: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vertAlign w:val="subscript"/>
              </w:rPr>
              <w:t>dvn</w:t>
            </w: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, dBA</w:t>
            </w:r>
          </w:p>
        </w:tc>
      </w:tr>
      <w:tr w:rsidR="39D494E2" w:rsidRPr="00E11D9A" w14:paraId="7E31540C" w14:textId="77777777" w:rsidTr="00CF0B04">
        <w:trPr>
          <w:trHeight w:val="300"/>
        </w:trPr>
        <w:tc>
          <w:tcPr>
            <w:tcW w:w="4673" w:type="dxa"/>
            <w:tcMar>
              <w:left w:w="108" w:type="dxa"/>
              <w:right w:w="108" w:type="dxa"/>
            </w:tcMar>
          </w:tcPr>
          <w:p w14:paraId="29C58DF0" w14:textId="467FF290" w:rsidR="39D494E2" w:rsidRPr="00E11D9A" w:rsidRDefault="39D494E2" w:rsidP="00CF0B04">
            <w:pPr>
              <w:spacing w:after="0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Gyvenamųjų pastatų (namų) ir visuomeninės paskirties pastatų (išskyrus maitinimo ir kultūros paskirties pastatus) aplinkoje, veikiamoje transporto sukeliamo triukšmo</w:t>
            </w:r>
          </w:p>
        </w:tc>
        <w:tc>
          <w:tcPr>
            <w:tcW w:w="1191" w:type="dxa"/>
            <w:tcMar>
              <w:left w:w="108" w:type="dxa"/>
              <w:right w:w="108" w:type="dxa"/>
            </w:tcMar>
          </w:tcPr>
          <w:p w14:paraId="252F5229" w14:textId="34DA448E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65</w:t>
            </w:r>
          </w:p>
        </w:tc>
        <w:tc>
          <w:tcPr>
            <w:tcW w:w="1219" w:type="dxa"/>
            <w:tcMar>
              <w:left w:w="108" w:type="dxa"/>
              <w:right w:w="108" w:type="dxa"/>
            </w:tcMar>
          </w:tcPr>
          <w:p w14:paraId="51080DFB" w14:textId="543FD9C0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60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14:paraId="69AE7BB9" w14:textId="41E650F0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55</w:t>
            </w:r>
          </w:p>
        </w:tc>
        <w:tc>
          <w:tcPr>
            <w:tcW w:w="1129" w:type="dxa"/>
            <w:tcMar>
              <w:left w:w="108" w:type="dxa"/>
              <w:right w:w="108" w:type="dxa"/>
            </w:tcMar>
          </w:tcPr>
          <w:p w14:paraId="0BBA03F2" w14:textId="23FA081E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65</w:t>
            </w:r>
          </w:p>
        </w:tc>
      </w:tr>
      <w:tr w:rsidR="39D494E2" w:rsidRPr="00E11D9A" w14:paraId="7030C5A9" w14:textId="77777777" w:rsidTr="00CF0B04">
        <w:trPr>
          <w:trHeight w:val="300"/>
        </w:trPr>
        <w:tc>
          <w:tcPr>
            <w:tcW w:w="4673" w:type="dxa"/>
            <w:tcMar>
              <w:left w:w="108" w:type="dxa"/>
              <w:right w:w="108" w:type="dxa"/>
            </w:tcMar>
          </w:tcPr>
          <w:p w14:paraId="1599C56B" w14:textId="5FC24AFF" w:rsidR="39D494E2" w:rsidRPr="00E11D9A" w:rsidRDefault="39D494E2" w:rsidP="00CF0B04">
            <w:pPr>
              <w:spacing w:after="0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Gyvenamųjų pastatų (namų) ir visuomeninės paskirties pastatų (išskyrus maitinimo ir kultūros paskirties pastatus) aplinkoje, veikiamoje pramoninės veiklos (išskyrus transportą) stacionarių triukšmo šaltinių sukeliamo triukšmo</w:t>
            </w:r>
          </w:p>
        </w:tc>
        <w:tc>
          <w:tcPr>
            <w:tcW w:w="1191" w:type="dxa"/>
            <w:tcMar>
              <w:left w:w="108" w:type="dxa"/>
              <w:right w:w="108" w:type="dxa"/>
            </w:tcMar>
          </w:tcPr>
          <w:p w14:paraId="39A2FBB6" w14:textId="687AC6D5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55</w:t>
            </w:r>
          </w:p>
        </w:tc>
        <w:tc>
          <w:tcPr>
            <w:tcW w:w="1219" w:type="dxa"/>
            <w:tcMar>
              <w:left w:w="108" w:type="dxa"/>
              <w:right w:w="108" w:type="dxa"/>
            </w:tcMar>
          </w:tcPr>
          <w:p w14:paraId="6ED26F86" w14:textId="4A0050CE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50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14:paraId="2C180B14" w14:textId="58FECE93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45</w:t>
            </w:r>
          </w:p>
        </w:tc>
        <w:tc>
          <w:tcPr>
            <w:tcW w:w="1129" w:type="dxa"/>
            <w:tcMar>
              <w:left w:w="108" w:type="dxa"/>
              <w:right w:w="108" w:type="dxa"/>
            </w:tcMar>
          </w:tcPr>
          <w:p w14:paraId="1076E193" w14:textId="50B58926" w:rsidR="39D494E2" w:rsidRPr="00E11D9A" w:rsidRDefault="39D494E2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55</w:t>
            </w:r>
          </w:p>
        </w:tc>
      </w:tr>
    </w:tbl>
    <w:p w14:paraId="62D9F52A" w14:textId="7F6443B9" w:rsidR="002D3D66" w:rsidRPr="00E11D9A" w:rsidRDefault="002D3D66" w:rsidP="00CF0B04">
      <w:pPr>
        <w:spacing w:after="0"/>
        <w:rPr>
          <w:rFonts w:asciiTheme="minorHAnsi" w:eastAsia="Times New Roman" w:hAnsiTheme="minorHAnsi" w:cstheme="minorHAnsi"/>
          <w:color w:val="000000" w:themeColor="text1"/>
          <w:sz w:val="22"/>
        </w:rPr>
      </w:pPr>
    </w:p>
    <w:p w14:paraId="1935407B" w14:textId="3E17E30F" w:rsidR="002D3D66" w:rsidRPr="00E11D9A" w:rsidRDefault="00637A3A" w:rsidP="00637A3A">
      <w:pPr>
        <w:spacing w:after="0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________________</w:t>
      </w:r>
      <w:bookmarkStart w:id="1" w:name="_GoBack"/>
      <w:bookmarkEnd w:id="1"/>
    </w:p>
    <w:sectPr w:rsidR="002D3D66" w:rsidRPr="00E11D9A" w:rsidSect="00453F22">
      <w:pgSz w:w="11907" w:h="16840" w:code="9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B1C37"/>
    <w:multiLevelType w:val="hybridMultilevel"/>
    <w:tmpl w:val="58C4D17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E0F"/>
    <w:rsid w:val="001908B0"/>
    <w:rsid w:val="001A4914"/>
    <w:rsid w:val="00262E0F"/>
    <w:rsid w:val="00292EA2"/>
    <w:rsid w:val="002936E8"/>
    <w:rsid w:val="002D3D66"/>
    <w:rsid w:val="00310FD9"/>
    <w:rsid w:val="003775DF"/>
    <w:rsid w:val="003D61AC"/>
    <w:rsid w:val="003D768A"/>
    <w:rsid w:val="00453F22"/>
    <w:rsid w:val="00637A3A"/>
    <w:rsid w:val="007450D2"/>
    <w:rsid w:val="007B2CAF"/>
    <w:rsid w:val="00854E07"/>
    <w:rsid w:val="00887C66"/>
    <w:rsid w:val="008D53FF"/>
    <w:rsid w:val="00A44D68"/>
    <w:rsid w:val="00AE07DF"/>
    <w:rsid w:val="00B752AA"/>
    <w:rsid w:val="00C95B32"/>
    <w:rsid w:val="00CB2D9E"/>
    <w:rsid w:val="00CC400F"/>
    <w:rsid w:val="00CD565F"/>
    <w:rsid w:val="00CE62FA"/>
    <w:rsid w:val="00CF0B04"/>
    <w:rsid w:val="00DA4024"/>
    <w:rsid w:val="00E11D9A"/>
    <w:rsid w:val="00E770F1"/>
    <w:rsid w:val="00EB2723"/>
    <w:rsid w:val="04AF0323"/>
    <w:rsid w:val="187C1EDC"/>
    <w:rsid w:val="39D494E2"/>
    <w:rsid w:val="41B73BD1"/>
    <w:rsid w:val="4C207D90"/>
    <w:rsid w:val="5397C0BD"/>
    <w:rsid w:val="668EFCFA"/>
    <w:rsid w:val="6A0CE8A6"/>
    <w:rsid w:val="700BB1E6"/>
    <w:rsid w:val="703FBEE2"/>
    <w:rsid w:val="75AA2D97"/>
    <w:rsid w:val="75B6DFB1"/>
    <w:rsid w:val="7914CA81"/>
    <w:rsid w:val="7F54C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9F459"/>
  <w15:chartTrackingRefBased/>
  <w15:docId w15:val="{84A6AEED-3190-47D6-84A6-CCA830CAC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E0F"/>
    <w:pPr>
      <w:spacing w:after="120" w:line="240" w:lineRule="auto"/>
    </w:pPr>
    <w:rPr>
      <w:rFonts w:ascii="Times New Roman" w:hAnsi="Times New Roman"/>
      <w:kern w:val="0"/>
      <w:sz w:val="24"/>
      <w:lang w:val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99"/>
    <w:unhideWhenUsed/>
    <w:qFormat/>
    <w:rsid w:val="00262E0F"/>
    <w:pPr>
      <w:spacing w:after="200"/>
      <w:jc w:val="center"/>
    </w:pPr>
    <w:rPr>
      <w:b/>
      <w:iCs/>
      <w:kern w:val="2"/>
      <w:sz w:val="18"/>
      <w:szCs w:val="18"/>
      <w14:ligatures w14:val="standardContextual"/>
    </w:rPr>
  </w:style>
  <w:style w:type="character" w:customStyle="1" w:styleId="CaptionChar">
    <w:name w:val="Caption Char"/>
    <w:link w:val="Caption"/>
    <w:uiPriority w:val="99"/>
    <w:locked/>
    <w:rsid w:val="00262E0F"/>
    <w:rPr>
      <w:rFonts w:ascii="Times New Roman" w:hAnsi="Times New Roman"/>
      <w:b/>
      <w:iCs/>
      <w:sz w:val="18"/>
      <w:szCs w:val="18"/>
      <w:lang w:val="lt-LT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B2D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D6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61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61AC"/>
    <w:rPr>
      <w:rFonts w:ascii="Times New Roman" w:hAnsi="Times New Roman"/>
      <w:kern w:val="0"/>
      <w:sz w:val="20"/>
      <w:szCs w:val="20"/>
      <w:lang w:val="lt-LT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1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1AC"/>
    <w:rPr>
      <w:rFonts w:ascii="Times New Roman" w:hAnsi="Times New Roman"/>
      <w:b/>
      <w:bCs/>
      <w:kern w:val="0"/>
      <w:sz w:val="20"/>
      <w:szCs w:val="20"/>
      <w:lang w:val="lt-LT"/>
      <w14:ligatures w14:val="none"/>
    </w:rPr>
  </w:style>
  <w:style w:type="character" w:styleId="Mention">
    <w:name w:val="Mention"/>
    <w:basedOn w:val="DefaultParagraphFont"/>
    <w:uiPriority w:val="99"/>
    <w:unhideWhenUsed/>
    <w:rsid w:val="003D61AC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2AA"/>
    <w:rPr>
      <w:rFonts w:ascii="Segoe UI" w:hAnsi="Segoe UI" w:cs="Segoe UI"/>
      <w:kern w:val="0"/>
      <w:sz w:val="18"/>
      <w:szCs w:val="18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tyrens.lt/lt/naujienos/informacija-apie-viesa-visuomenes-supazindinima-su-zaliojo-vandenilio-gamybos-viesajam-transportui-vilniaus-mieste-projekto-poveikio-aplinkai-vertinimo-ataskaitapranesimas-apie-zaliojo-vandenilio-gam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B72FBFDE9394BB09946B80BE992AD" ma:contentTypeVersion="15" ma:contentTypeDescription="Create a new document." ma:contentTypeScope="" ma:versionID="2abae2800c98e3c0f002e88729cc682c">
  <xsd:schema xmlns:xsd="http://www.w3.org/2001/XMLSchema" xmlns:xs="http://www.w3.org/2001/XMLSchema" xmlns:p="http://schemas.microsoft.com/office/2006/metadata/properties" xmlns:ns2="30ff7dbc-6422-4764-bf4e-e60ecf50d493" xmlns:ns3="413bd800-9cc7-4b33-bbe3-cb24f5a86244" targetNamespace="http://schemas.microsoft.com/office/2006/metadata/properties" ma:root="true" ma:fieldsID="09ac38f0cadca5d4349192757613cfaa" ns2:_="" ns3:_="">
    <xsd:import namespace="30ff7dbc-6422-4764-bf4e-e60ecf50d493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f7dbc-6422-4764-bf4e-e60ecf50d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ff7dbc-6422-4764-bf4e-e60ecf50d493">
      <Terms xmlns="http://schemas.microsoft.com/office/infopath/2007/PartnerControls"/>
    </lcf76f155ced4ddcb4097134ff3c332f>
    <TaxCatchAll xmlns="413bd800-9cc7-4b33-bbe3-cb24f5a8624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73189-E3B3-4FDB-A481-C92880D153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6EBD7C-2379-435F-BFE8-B4EE0D4A09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f7dbc-6422-4764-bf4e-e60ecf50d493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51008C-4FBC-4323-BB5B-E79A79DB656F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413bd800-9cc7-4b33-bbe3-cb24f5a86244"/>
    <ds:schemaRef ds:uri="30ff7dbc-6422-4764-bf4e-e60ecf50d49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89A3AD3-7598-4A71-A32B-753C392AF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2724</Words>
  <Characters>1553</Characters>
  <Application>Microsoft Office Word</Application>
  <DocSecurity>0</DocSecurity>
  <Lines>12</Lines>
  <Paragraphs>8</Paragraphs>
  <ScaleCrop>false</ScaleCrop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Valdas Uscila</dc:creator>
  <cp:keywords/>
  <dc:description/>
  <cp:lastModifiedBy>Laimis Kuklierius</cp:lastModifiedBy>
  <cp:revision>24</cp:revision>
  <dcterms:created xsi:type="dcterms:W3CDTF">2024-05-06T03:52:00Z</dcterms:created>
  <dcterms:modified xsi:type="dcterms:W3CDTF">2024-05-28T06:53:00Z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0x0101006CEB72FBFDE9394BB09946B80BE992AD</vt:lpwstr>
  </property>
  <property fmtid="{D5CDD505-2E9C-101B-9397-08002B2CF9AE}" pid="3" name="MediaServiceImageTags">
    <vt:lpwstr/>
  </property>
</Properties>
</file>